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B0B" w:rsidRPr="00CA5E6E" w:rsidRDefault="00967B0B" w:rsidP="00967B0B">
      <w:pPr>
        <w:spacing w:after="0" w:line="240" w:lineRule="auto"/>
        <w:jc w:val="both"/>
        <w:rPr>
          <w:rFonts w:ascii="Arial" w:hAnsi="Arial" w:cs="Arial"/>
          <w:sz w:val="26"/>
          <w:szCs w:val="24"/>
        </w:rPr>
      </w:pPr>
      <w:r w:rsidRPr="008319BF">
        <w:rPr>
          <w:rFonts w:ascii="Arial" w:eastAsia="Times New Roman" w:hAnsi="Arial" w:cs="Arial"/>
          <w:b/>
          <w:sz w:val="30"/>
          <w:szCs w:val="24"/>
        </w:rPr>
        <w:t>MOLECULAR TOXICOLOGY</w:t>
      </w:r>
      <w:r w:rsidRPr="00CA5E6E">
        <w:rPr>
          <w:rFonts w:ascii="Arial" w:eastAsia="Times New Roman" w:hAnsi="Arial" w:cs="Arial"/>
          <w:b/>
          <w:sz w:val="26"/>
          <w:szCs w:val="24"/>
        </w:rPr>
        <w:tab/>
      </w:r>
      <w:r w:rsidRPr="00CA5E6E">
        <w:rPr>
          <w:rFonts w:ascii="Arial" w:eastAsia="Times New Roman" w:hAnsi="Arial" w:cs="Arial"/>
          <w:b/>
          <w:sz w:val="26"/>
          <w:szCs w:val="24"/>
        </w:rPr>
        <w:tab/>
      </w:r>
      <w:r w:rsidRPr="00CA5E6E">
        <w:rPr>
          <w:rFonts w:ascii="Arial" w:eastAsia="Times New Roman" w:hAnsi="Arial" w:cs="Arial"/>
          <w:b/>
          <w:sz w:val="26"/>
          <w:szCs w:val="24"/>
        </w:rPr>
        <w:tab/>
        <w:t>CREDIT HOURS 2+1</w:t>
      </w:r>
    </w:p>
    <w:p w:rsidR="00967B0B" w:rsidRPr="008319BF" w:rsidRDefault="00967B0B" w:rsidP="00967B0B">
      <w:pPr>
        <w:spacing w:after="0" w:line="240" w:lineRule="auto"/>
        <w:jc w:val="both"/>
        <w:rPr>
          <w:rFonts w:ascii="Arial" w:eastAsia="Times New Roman" w:hAnsi="Arial" w:cs="Arial"/>
          <w:b/>
          <w:sz w:val="20"/>
          <w:szCs w:val="24"/>
        </w:rPr>
      </w:pPr>
    </w:p>
    <w:p w:rsidR="00967B0B" w:rsidRPr="008319BF" w:rsidRDefault="00967B0B" w:rsidP="00967B0B">
      <w:pPr>
        <w:spacing w:after="0" w:line="240" w:lineRule="auto"/>
        <w:jc w:val="both"/>
        <w:rPr>
          <w:rFonts w:ascii="Arial" w:hAnsi="Arial" w:cs="Arial"/>
          <w:sz w:val="28"/>
          <w:szCs w:val="24"/>
        </w:rPr>
      </w:pPr>
      <w:r w:rsidRPr="008319BF">
        <w:rPr>
          <w:rFonts w:ascii="Arial" w:eastAsia="Times New Roman" w:hAnsi="Arial" w:cs="Arial"/>
          <w:b/>
          <w:sz w:val="28"/>
          <w:szCs w:val="24"/>
        </w:rPr>
        <w:t>LEARNING OUTCOMES</w:t>
      </w:r>
      <w:r>
        <w:rPr>
          <w:rFonts w:ascii="Arial" w:eastAsia="Times New Roman" w:hAnsi="Arial" w:cs="Arial"/>
          <w:b/>
          <w:sz w:val="28"/>
          <w:szCs w:val="24"/>
        </w:rPr>
        <w:t>:</w:t>
      </w:r>
    </w:p>
    <w:p w:rsidR="00967B0B" w:rsidRDefault="00967B0B" w:rsidP="00967B0B">
      <w:pPr>
        <w:tabs>
          <w:tab w:val="left" w:pos="6"/>
        </w:tabs>
        <w:spacing w:after="0" w:line="240" w:lineRule="auto"/>
        <w:rPr>
          <w:rFonts w:ascii="Arial" w:eastAsia="Times New Roman" w:hAnsi="Arial" w:cs="Arial"/>
          <w:sz w:val="26"/>
          <w:szCs w:val="24"/>
        </w:rPr>
      </w:pPr>
      <w:r w:rsidRPr="00C06387">
        <w:rPr>
          <w:rFonts w:ascii="Arial" w:eastAsia="Times New Roman" w:hAnsi="Arial" w:cs="Arial"/>
          <w:b/>
          <w:sz w:val="26"/>
          <w:szCs w:val="24"/>
        </w:rPr>
        <w:t>Students will be able to gain</w:t>
      </w:r>
      <w:r>
        <w:rPr>
          <w:rFonts w:ascii="Arial" w:eastAsia="Times New Roman" w:hAnsi="Arial" w:cs="Arial"/>
          <w:sz w:val="26"/>
          <w:szCs w:val="24"/>
        </w:rPr>
        <w:t>:</w:t>
      </w:r>
    </w:p>
    <w:p w:rsidR="00967B0B" w:rsidRPr="00C06387" w:rsidRDefault="00967B0B" w:rsidP="00967B0B">
      <w:pPr>
        <w:pStyle w:val="ListParagraph"/>
        <w:numPr>
          <w:ilvl w:val="3"/>
          <w:numId w:val="1"/>
        </w:numPr>
        <w:tabs>
          <w:tab w:val="left" w:pos="6"/>
        </w:tabs>
        <w:spacing w:after="0" w:line="240" w:lineRule="auto"/>
        <w:ind w:left="720" w:hanging="360"/>
        <w:rPr>
          <w:rFonts w:ascii="Arial" w:eastAsia="Times New Roman" w:hAnsi="Arial" w:cs="Arial"/>
          <w:color w:val="auto"/>
          <w:sz w:val="26"/>
          <w:szCs w:val="24"/>
        </w:rPr>
      </w:pPr>
      <w:r w:rsidRPr="00C06387">
        <w:rPr>
          <w:rFonts w:ascii="Arial" w:eastAsia="Times New Roman" w:hAnsi="Arial" w:cs="Arial"/>
          <w:sz w:val="26"/>
          <w:szCs w:val="24"/>
        </w:rPr>
        <w:t>knowledge of current understanding, emerging issues and trends within the fields of molecular toxicology</w:t>
      </w:r>
    </w:p>
    <w:p w:rsidR="00967B0B" w:rsidRPr="008319BF" w:rsidRDefault="00967B0B" w:rsidP="00967B0B">
      <w:pPr>
        <w:spacing w:after="0" w:line="240" w:lineRule="auto"/>
        <w:jc w:val="both"/>
        <w:rPr>
          <w:rFonts w:ascii="Arial" w:eastAsia="Times New Roman" w:hAnsi="Arial" w:cs="Arial"/>
          <w:b/>
          <w:sz w:val="12"/>
          <w:szCs w:val="24"/>
          <w:u w:val="single"/>
        </w:rPr>
      </w:pPr>
    </w:p>
    <w:p w:rsidR="00967B0B" w:rsidRPr="008319BF" w:rsidRDefault="00967B0B" w:rsidP="00967B0B">
      <w:pPr>
        <w:spacing w:after="0" w:line="240" w:lineRule="auto"/>
        <w:jc w:val="both"/>
        <w:rPr>
          <w:rFonts w:ascii="Arial" w:hAnsi="Arial" w:cs="Arial"/>
          <w:sz w:val="28"/>
          <w:szCs w:val="24"/>
        </w:rPr>
      </w:pPr>
      <w:r w:rsidRPr="008319BF">
        <w:rPr>
          <w:rFonts w:ascii="Arial" w:eastAsia="Times New Roman" w:hAnsi="Arial" w:cs="Arial"/>
          <w:b/>
          <w:sz w:val="28"/>
          <w:szCs w:val="24"/>
        </w:rPr>
        <w:t>COURSE CONTENTS:</w:t>
      </w:r>
    </w:p>
    <w:p w:rsidR="00967B0B" w:rsidRPr="008319BF" w:rsidRDefault="00967B0B" w:rsidP="00967B0B">
      <w:pPr>
        <w:spacing w:after="0" w:line="240" w:lineRule="auto"/>
        <w:jc w:val="both"/>
        <w:rPr>
          <w:rFonts w:ascii="Arial" w:hAnsi="Arial" w:cs="Arial"/>
          <w:sz w:val="26"/>
          <w:szCs w:val="24"/>
        </w:rPr>
      </w:pPr>
      <w:proofErr w:type="gramStart"/>
      <w:r w:rsidRPr="00CA5E6E">
        <w:rPr>
          <w:rFonts w:ascii="Arial" w:eastAsia="Times New Roman" w:hAnsi="Arial" w:cs="Arial"/>
          <w:sz w:val="26"/>
          <w:szCs w:val="24"/>
        </w:rPr>
        <w:t>History and basic concepts of toxicology, molecular and forensic basis of toxicology and its applications.</w:t>
      </w:r>
      <w:proofErr w:type="gramEnd"/>
      <w:r w:rsidRPr="00CA5E6E">
        <w:rPr>
          <w:rFonts w:ascii="Arial" w:eastAsia="Times New Roman" w:hAnsi="Arial" w:cs="Arial"/>
          <w:sz w:val="26"/>
          <w:szCs w:val="24"/>
        </w:rPr>
        <w:t xml:space="preserve"> </w:t>
      </w:r>
      <w:proofErr w:type="gramStart"/>
      <w:r w:rsidRPr="00CA5E6E">
        <w:rPr>
          <w:rFonts w:ascii="Arial" w:eastAsia="Times New Roman" w:hAnsi="Arial" w:cs="Arial"/>
          <w:sz w:val="26"/>
          <w:szCs w:val="24"/>
        </w:rPr>
        <w:t>Toxicological effects of various drugs of abuse and their action of mechanism.</w:t>
      </w:r>
      <w:proofErr w:type="gramEnd"/>
      <w:r w:rsidRPr="00CA5E6E">
        <w:rPr>
          <w:rFonts w:ascii="Arial" w:eastAsia="Times New Roman" w:hAnsi="Arial" w:cs="Arial"/>
          <w:sz w:val="26"/>
          <w:szCs w:val="24"/>
        </w:rPr>
        <w:t xml:space="preserve"> Sampling techniques and methodologies used to identify various toxicants. Insight of different types of poisons and toxicants, classification and their management, Identification of drugs in the body, Toxicity of pharmaceutical materials, non-medicinal agents and industrial pollutants, Targeted organ toxicity (Blood, Immune system, Heart, Liver, Kidney, Respiratory System, Nervous system, Ocular visual system, Endocrine system). </w:t>
      </w:r>
      <w:r w:rsidRPr="008319BF">
        <w:rPr>
          <w:rFonts w:ascii="Arial" w:hAnsi="Arial" w:cs="Arial"/>
          <w:sz w:val="26"/>
          <w:szCs w:val="24"/>
        </w:rPr>
        <w:t>Multiplicity and properties of drug-metabolizing enzymes (</w:t>
      </w:r>
      <w:proofErr w:type="spellStart"/>
      <w:r w:rsidRPr="008319BF">
        <w:rPr>
          <w:rFonts w:ascii="Arial" w:hAnsi="Arial" w:cs="Arial"/>
          <w:sz w:val="26"/>
          <w:szCs w:val="24"/>
        </w:rPr>
        <w:t>cytochrome</w:t>
      </w:r>
      <w:proofErr w:type="spellEnd"/>
      <w:r w:rsidRPr="008319BF">
        <w:rPr>
          <w:rFonts w:ascii="Arial" w:hAnsi="Arial" w:cs="Arial"/>
          <w:sz w:val="26"/>
          <w:szCs w:val="24"/>
        </w:rPr>
        <w:t xml:space="preserve"> P450, glutathione S-</w:t>
      </w:r>
      <w:proofErr w:type="spellStart"/>
      <w:r w:rsidRPr="008319BF">
        <w:rPr>
          <w:rFonts w:ascii="Arial" w:hAnsi="Arial" w:cs="Arial"/>
          <w:sz w:val="26"/>
          <w:szCs w:val="24"/>
        </w:rPr>
        <w:t>transferases</w:t>
      </w:r>
      <w:proofErr w:type="spellEnd"/>
      <w:r w:rsidRPr="008319BF">
        <w:rPr>
          <w:rFonts w:ascii="Arial" w:hAnsi="Arial" w:cs="Arial"/>
          <w:sz w:val="26"/>
          <w:szCs w:val="24"/>
        </w:rPr>
        <w:t xml:space="preserve"> and others), clinical and toxicological consequences of genetic polymorphisms of drug metabolizing enzymes, chemical and biological properties of reactive intermediates responsible for toxicity, mechanisms underlying idiosyncratic drug reactions (Identifying genetic risk factors for serious adverse drug reactions: current progress and challenges).</w:t>
      </w:r>
    </w:p>
    <w:p w:rsidR="00967B0B" w:rsidRPr="008319BF" w:rsidRDefault="00967B0B" w:rsidP="00967B0B">
      <w:pPr>
        <w:spacing w:after="0" w:line="240" w:lineRule="auto"/>
        <w:jc w:val="both"/>
        <w:rPr>
          <w:rFonts w:ascii="Arial" w:hAnsi="Arial" w:cs="Arial"/>
          <w:sz w:val="16"/>
          <w:szCs w:val="24"/>
        </w:rPr>
      </w:pPr>
    </w:p>
    <w:p w:rsidR="00967B0B" w:rsidRPr="008319BF" w:rsidRDefault="00967B0B" w:rsidP="00967B0B">
      <w:pPr>
        <w:spacing w:after="0" w:line="240" w:lineRule="auto"/>
        <w:jc w:val="both"/>
        <w:rPr>
          <w:rFonts w:ascii="Arial" w:hAnsi="Arial" w:cs="Arial"/>
          <w:sz w:val="28"/>
          <w:szCs w:val="24"/>
        </w:rPr>
      </w:pPr>
      <w:r w:rsidRPr="008319BF">
        <w:rPr>
          <w:rFonts w:ascii="Arial" w:eastAsia="Times New Roman" w:hAnsi="Arial" w:cs="Arial"/>
          <w:b/>
          <w:sz w:val="28"/>
          <w:szCs w:val="24"/>
        </w:rPr>
        <w:t>PRACTICAL</w:t>
      </w:r>
      <w:r>
        <w:rPr>
          <w:rFonts w:ascii="Arial" w:eastAsia="Times New Roman" w:hAnsi="Arial" w:cs="Arial"/>
          <w:b/>
          <w:sz w:val="28"/>
          <w:szCs w:val="24"/>
        </w:rPr>
        <w:t>S</w:t>
      </w:r>
      <w:r w:rsidRPr="008319BF">
        <w:rPr>
          <w:rFonts w:ascii="Arial" w:eastAsia="Times New Roman" w:hAnsi="Arial" w:cs="Arial"/>
          <w:b/>
          <w:sz w:val="28"/>
          <w:szCs w:val="24"/>
        </w:rPr>
        <w:t>:</w:t>
      </w:r>
    </w:p>
    <w:p w:rsidR="00967B0B" w:rsidRPr="00CA5E6E" w:rsidRDefault="00967B0B" w:rsidP="00967B0B">
      <w:pPr>
        <w:numPr>
          <w:ilvl w:val="0"/>
          <w:numId w:val="2"/>
        </w:numPr>
        <w:spacing w:after="0" w:line="240" w:lineRule="auto"/>
        <w:ind w:hanging="360"/>
        <w:contextualSpacing/>
        <w:jc w:val="both"/>
        <w:rPr>
          <w:rFonts w:ascii="Arial" w:eastAsia="Times New Roman" w:hAnsi="Arial" w:cs="Arial"/>
          <w:sz w:val="26"/>
          <w:szCs w:val="24"/>
        </w:rPr>
      </w:pPr>
      <w:r w:rsidRPr="00CA5E6E">
        <w:rPr>
          <w:rFonts w:ascii="Arial" w:eastAsia="Times New Roman" w:hAnsi="Arial" w:cs="Arial"/>
          <w:sz w:val="26"/>
          <w:szCs w:val="24"/>
        </w:rPr>
        <w:t>Study of effect of various toxins in animal models</w:t>
      </w:r>
    </w:p>
    <w:p w:rsidR="00967B0B" w:rsidRPr="00CA5E6E" w:rsidRDefault="00967B0B" w:rsidP="00967B0B">
      <w:pPr>
        <w:numPr>
          <w:ilvl w:val="0"/>
          <w:numId w:val="2"/>
        </w:numPr>
        <w:spacing w:after="0" w:line="240" w:lineRule="auto"/>
        <w:ind w:hanging="360"/>
        <w:contextualSpacing/>
        <w:jc w:val="both"/>
        <w:rPr>
          <w:rFonts w:ascii="Arial" w:eastAsia="Times New Roman" w:hAnsi="Arial" w:cs="Arial"/>
          <w:sz w:val="26"/>
          <w:szCs w:val="24"/>
        </w:rPr>
      </w:pPr>
      <w:r w:rsidRPr="00CA5E6E">
        <w:rPr>
          <w:rFonts w:ascii="Arial" w:eastAsia="Times New Roman" w:hAnsi="Arial" w:cs="Arial"/>
          <w:sz w:val="26"/>
          <w:szCs w:val="24"/>
        </w:rPr>
        <w:t xml:space="preserve">Study of effect of various toxins on DNA </w:t>
      </w:r>
    </w:p>
    <w:p w:rsidR="00967B0B" w:rsidRPr="00CA5E6E" w:rsidRDefault="00967B0B" w:rsidP="00967B0B">
      <w:pPr>
        <w:numPr>
          <w:ilvl w:val="0"/>
          <w:numId w:val="2"/>
        </w:numPr>
        <w:spacing w:after="0" w:line="240" w:lineRule="auto"/>
        <w:ind w:hanging="360"/>
        <w:contextualSpacing/>
        <w:jc w:val="both"/>
        <w:rPr>
          <w:rFonts w:ascii="Arial" w:eastAsia="Times New Roman" w:hAnsi="Arial" w:cs="Arial"/>
          <w:sz w:val="26"/>
          <w:szCs w:val="24"/>
        </w:rPr>
      </w:pPr>
      <w:r w:rsidRPr="00CA5E6E">
        <w:rPr>
          <w:rFonts w:ascii="Arial" w:eastAsia="Times New Roman" w:hAnsi="Arial" w:cs="Arial"/>
          <w:sz w:val="26"/>
          <w:szCs w:val="24"/>
        </w:rPr>
        <w:t>Effect of toxins on different pathway (oxidative stress)</w:t>
      </w:r>
    </w:p>
    <w:p w:rsidR="00967B0B" w:rsidRPr="008319BF" w:rsidRDefault="00967B0B" w:rsidP="00967B0B">
      <w:pPr>
        <w:numPr>
          <w:ilvl w:val="0"/>
          <w:numId w:val="2"/>
        </w:numPr>
        <w:spacing w:after="0" w:line="240" w:lineRule="auto"/>
        <w:ind w:hanging="360"/>
        <w:contextualSpacing/>
        <w:jc w:val="both"/>
        <w:rPr>
          <w:rFonts w:ascii="Arial" w:eastAsia="Times New Roman" w:hAnsi="Arial" w:cs="Arial"/>
          <w:sz w:val="26"/>
          <w:szCs w:val="24"/>
        </w:rPr>
      </w:pPr>
      <w:r w:rsidRPr="008319BF">
        <w:rPr>
          <w:rFonts w:ascii="Arial" w:hAnsi="Arial" w:cs="Arial"/>
          <w:sz w:val="26"/>
          <w:szCs w:val="24"/>
        </w:rPr>
        <w:t>In-</w:t>
      </w:r>
      <w:proofErr w:type="spellStart"/>
      <w:r w:rsidRPr="008319BF">
        <w:rPr>
          <w:rFonts w:ascii="Arial" w:hAnsi="Arial" w:cs="Arial"/>
          <w:sz w:val="26"/>
          <w:szCs w:val="24"/>
        </w:rPr>
        <w:t>silico</w:t>
      </w:r>
      <w:proofErr w:type="spellEnd"/>
      <w:r w:rsidRPr="008319BF">
        <w:rPr>
          <w:rFonts w:ascii="Arial" w:hAnsi="Arial" w:cs="Arial"/>
          <w:sz w:val="26"/>
          <w:szCs w:val="24"/>
        </w:rPr>
        <w:t xml:space="preserve"> or computational approaches to predict drug metabolism and toxicity</w:t>
      </w:r>
    </w:p>
    <w:p w:rsidR="00967B0B" w:rsidRPr="00AA5EEE" w:rsidRDefault="00967B0B" w:rsidP="00967B0B">
      <w:pPr>
        <w:spacing w:after="0" w:line="240" w:lineRule="auto"/>
        <w:jc w:val="both"/>
        <w:rPr>
          <w:rFonts w:ascii="Arial" w:eastAsia="Times New Roman" w:hAnsi="Arial" w:cs="Arial"/>
          <w:b/>
          <w:sz w:val="12"/>
          <w:szCs w:val="24"/>
          <w:u w:val="single"/>
        </w:rPr>
      </w:pPr>
    </w:p>
    <w:p w:rsidR="00967B0B" w:rsidRPr="008319BF" w:rsidRDefault="00967B0B" w:rsidP="00967B0B">
      <w:pPr>
        <w:spacing w:after="0" w:line="240" w:lineRule="auto"/>
        <w:jc w:val="both"/>
        <w:rPr>
          <w:rFonts w:ascii="Arial" w:hAnsi="Arial" w:cs="Arial"/>
          <w:sz w:val="28"/>
          <w:szCs w:val="24"/>
        </w:rPr>
      </w:pPr>
      <w:r>
        <w:rPr>
          <w:rFonts w:ascii="Arial" w:eastAsia="Times New Roman" w:hAnsi="Arial" w:cs="Arial"/>
          <w:b/>
          <w:sz w:val="28"/>
          <w:szCs w:val="24"/>
        </w:rPr>
        <w:t>RECOMMENDED BOOKS:</w:t>
      </w:r>
    </w:p>
    <w:p w:rsidR="00967B0B" w:rsidRPr="009662E6" w:rsidRDefault="00967B0B" w:rsidP="00967B0B">
      <w:pPr>
        <w:numPr>
          <w:ilvl w:val="0"/>
          <w:numId w:val="3"/>
        </w:numPr>
        <w:spacing w:after="0" w:line="240" w:lineRule="auto"/>
        <w:ind w:left="475" w:hanging="475"/>
        <w:jc w:val="both"/>
        <w:rPr>
          <w:rFonts w:ascii="Arial" w:eastAsia="Times New Roman" w:hAnsi="Arial" w:cs="Arial"/>
          <w:sz w:val="26"/>
          <w:szCs w:val="24"/>
        </w:rPr>
      </w:pPr>
      <w:proofErr w:type="spellStart"/>
      <w:r w:rsidRPr="009662E6">
        <w:rPr>
          <w:rFonts w:ascii="Arial" w:eastAsia="Times New Roman" w:hAnsi="Arial" w:cs="Arial"/>
          <w:sz w:val="26"/>
          <w:szCs w:val="24"/>
        </w:rPr>
        <w:t>Dell'Omo</w:t>
      </w:r>
      <w:proofErr w:type="gramStart"/>
      <w:r w:rsidRPr="009662E6">
        <w:rPr>
          <w:rFonts w:ascii="Arial" w:eastAsia="Times New Roman" w:hAnsi="Arial" w:cs="Arial"/>
          <w:sz w:val="26"/>
          <w:szCs w:val="24"/>
        </w:rPr>
        <w:t>,G</w:t>
      </w:r>
      <w:proofErr w:type="spellEnd"/>
      <w:proofErr w:type="gramEnd"/>
      <w:r w:rsidRPr="009662E6">
        <w:rPr>
          <w:rFonts w:ascii="Arial" w:eastAsia="Times New Roman" w:hAnsi="Arial" w:cs="Arial"/>
          <w:sz w:val="26"/>
          <w:szCs w:val="24"/>
        </w:rPr>
        <w:t xml:space="preserve">., 2002. </w:t>
      </w:r>
      <w:hyperlink r:id="rId5">
        <w:proofErr w:type="spellStart"/>
        <w:r w:rsidRPr="009662E6">
          <w:rPr>
            <w:rFonts w:ascii="Arial" w:eastAsia="Times New Roman" w:hAnsi="Arial" w:cs="Arial"/>
            <w:sz w:val="26"/>
            <w:szCs w:val="24"/>
          </w:rPr>
          <w:t>Behavioural</w:t>
        </w:r>
        <w:proofErr w:type="spellEnd"/>
        <w:r w:rsidRPr="009662E6">
          <w:rPr>
            <w:rFonts w:ascii="Arial" w:eastAsia="Times New Roman" w:hAnsi="Arial" w:cs="Arial"/>
            <w:sz w:val="26"/>
            <w:szCs w:val="24"/>
          </w:rPr>
          <w:t xml:space="preserve"> </w:t>
        </w:r>
        <w:proofErr w:type="spellStart"/>
        <w:r w:rsidRPr="009662E6">
          <w:rPr>
            <w:rFonts w:ascii="Arial" w:eastAsia="Times New Roman" w:hAnsi="Arial" w:cs="Arial"/>
            <w:sz w:val="26"/>
            <w:szCs w:val="24"/>
          </w:rPr>
          <w:t>Ecotoxicology</w:t>
        </w:r>
        <w:proofErr w:type="spellEnd"/>
      </w:hyperlink>
      <w:r w:rsidRPr="009662E6">
        <w:rPr>
          <w:rFonts w:ascii="Arial" w:eastAsia="Times New Roman" w:hAnsi="Arial" w:cs="Arial"/>
          <w:sz w:val="26"/>
          <w:szCs w:val="24"/>
        </w:rPr>
        <w:t>. John-Wi</w:t>
      </w:r>
      <w:r>
        <w:rPr>
          <w:rFonts w:ascii="Arial" w:eastAsia="Times New Roman" w:hAnsi="Arial" w:cs="Arial"/>
          <w:sz w:val="26"/>
          <w:szCs w:val="24"/>
        </w:rPr>
        <w:t>l</w:t>
      </w:r>
      <w:r w:rsidRPr="009662E6">
        <w:rPr>
          <w:rFonts w:ascii="Arial" w:eastAsia="Times New Roman" w:hAnsi="Arial" w:cs="Arial"/>
          <w:sz w:val="26"/>
          <w:szCs w:val="24"/>
        </w:rPr>
        <w:t>ley and Son Limited.</w:t>
      </w:r>
    </w:p>
    <w:p w:rsidR="00967B0B" w:rsidRPr="009662E6" w:rsidRDefault="00967B0B" w:rsidP="00967B0B">
      <w:pPr>
        <w:pStyle w:val="ListParagraph"/>
        <w:numPr>
          <w:ilvl w:val="0"/>
          <w:numId w:val="3"/>
        </w:numPr>
        <w:spacing w:after="0" w:line="240" w:lineRule="auto"/>
        <w:ind w:left="475" w:hanging="475"/>
        <w:jc w:val="both"/>
        <w:rPr>
          <w:rFonts w:ascii="Arial" w:hAnsi="Arial" w:cs="Arial"/>
          <w:color w:val="auto"/>
          <w:sz w:val="26"/>
          <w:szCs w:val="24"/>
        </w:rPr>
      </w:pPr>
      <w:proofErr w:type="spellStart"/>
      <w:r w:rsidRPr="009662E6">
        <w:rPr>
          <w:rFonts w:ascii="Arial" w:hAnsi="Arial" w:cs="Arial"/>
          <w:color w:val="auto"/>
          <w:sz w:val="26"/>
          <w:szCs w:val="24"/>
        </w:rPr>
        <w:t>Fishbein</w:t>
      </w:r>
      <w:proofErr w:type="spellEnd"/>
      <w:r w:rsidRPr="009662E6">
        <w:rPr>
          <w:rFonts w:ascii="Arial" w:hAnsi="Arial" w:cs="Arial"/>
          <w:color w:val="auto"/>
          <w:sz w:val="26"/>
          <w:szCs w:val="24"/>
        </w:rPr>
        <w:t xml:space="preserve">, J. C. 2012. </w:t>
      </w:r>
      <w:r w:rsidRPr="009662E6">
        <w:rPr>
          <w:rFonts w:ascii="Arial" w:hAnsi="Arial" w:cs="Arial"/>
          <w:iCs/>
          <w:color w:val="auto"/>
          <w:sz w:val="26"/>
          <w:szCs w:val="24"/>
        </w:rPr>
        <w:t>Advances in Molecular Toxicology</w:t>
      </w:r>
      <w:r w:rsidRPr="009662E6">
        <w:rPr>
          <w:rFonts w:ascii="Arial" w:hAnsi="Arial" w:cs="Arial"/>
          <w:color w:val="auto"/>
          <w:sz w:val="26"/>
          <w:szCs w:val="24"/>
        </w:rPr>
        <w:t>. Burlington: Elsevier Science</w:t>
      </w:r>
    </w:p>
    <w:p w:rsidR="00967B0B" w:rsidRPr="009662E6" w:rsidRDefault="00967B0B" w:rsidP="00967B0B">
      <w:pPr>
        <w:pStyle w:val="ListParagraph"/>
        <w:numPr>
          <w:ilvl w:val="0"/>
          <w:numId w:val="3"/>
        </w:numPr>
        <w:spacing w:after="0" w:line="240" w:lineRule="auto"/>
        <w:ind w:left="475" w:hanging="475"/>
        <w:jc w:val="both"/>
        <w:rPr>
          <w:rFonts w:ascii="Arial" w:hAnsi="Arial" w:cs="Arial"/>
          <w:color w:val="auto"/>
          <w:sz w:val="26"/>
          <w:szCs w:val="24"/>
        </w:rPr>
      </w:pPr>
      <w:r w:rsidRPr="009662E6">
        <w:rPr>
          <w:rFonts w:ascii="Arial" w:hAnsi="Arial" w:cs="Arial"/>
          <w:color w:val="auto"/>
          <w:sz w:val="26"/>
          <w:szCs w:val="24"/>
        </w:rPr>
        <w:t xml:space="preserve">Fowler, B. A. 2016. </w:t>
      </w:r>
      <w:r w:rsidRPr="009662E6">
        <w:rPr>
          <w:rFonts w:ascii="Arial" w:hAnsi="Arial" w:cs="Arial"/>
          <w:iCs/>
          <w:color w:val="auto"/>
          <w:sz w:val="26"/>
          <w:szCs w:val="24"/>
        </w:rPr>
        <w:t>Molecular biological markers for toxicology and risk assessment</w:t>
      </w:r>
      <w:r w:rsidRPr="009662E6">
        <w:rPr>
          <w:rFonts w:ascii="Arial" w:hAnsi="Arial" w:cs="Arial"/>
          <w:color w:val="auto"/>
          <w:sz w:val="26"/>
          <w:szCs w:val="24"/>
        </w:rPr>
        <w:t xml:space="preserve">. </w:t>
      </w:r>
      <w:proofErr w:type="spellStart"/>
      <w:r w:rsidRPr="009662E6">
        <w:rPr>
          <w:rFonts w:ascii="Arial" w:hAnsi="Arial" w:cs="Arial"/>
          <w:color w:val="auto"/>
          <w:sz w:val="26"/>
          <w:szCs w:val="24"/>
        </w:rPr>
        <w:t>S.l</w:t>
      </w:r>
      <w:proofErr w:type="spellEnd"/>
      <w:r w:rsidRPr="009662E6">
        <w:rPr>
          <w:rFonts w:ascii="Arial" w:hAnsi="Arial" w:cs="Arial"/>
          <w:color w:val="auto"/>
          <w:sz w:val="26"/>
          <w:szCs w:val="24"/>
        </w:rPr>
        <w:t>.: Elsevier Academic Press.</w:t>
      </w:r>
    </w:p>
    <w:p w:rsidR="00967B0B" w:rsidRPr="009662E6" w:rsidRDefault="00967B0B" w:rsidP="00967B0B">
      <w:pPr>
        <w:numPr>
          <w:ilvl w:val="0"/>
          <w:numId w:val="3"/>
        </w:numPr>
        <w:spacing w:after="0" w:line="240" w:lineRule="auto"/>
        <w:ind w:left="475" w:hanging="475"/>
        <w:jc w:val="both"/>
        <w:rPr>
          <w:rFonts w:ascii="Arial" w:eastAsia="Times New Roman" w:hAnsi="Arial" w:cs="Arial"/>
          <w:sz w:val="26"/>
          <w:szCs w:val="24"/>
        </w:rPr>
      </w:pPr>
      <w:r w:rsidRPr="009662E6">
        <w:rPr>
          <w:rFonts w:ascii="Arial" w:eastAsia="Times New Roman" w:hAnsi="Arial" w:cs="Arial"/>
          <w:sz w:val="26"/>
          <w:szCs w:val="24"/>
        </w:rPr>
        <w:t>Hodgson, E. A Textbook of Modern Toxicology. 2011. 4</w:t>
      </w:r>
      <w:r w:rsidRPr="009662E6">
        <w:rPr>
          <w:rFonts w:ascii="Arial" w:eastAsia="Times New Roman" w:hAnsi="Arial" w:cs="Arial"/>
          <w:sz w:val="26"/>
          <w:szCs w:val="24"/>
          <w:vertAlign w:val="superscript"/>
        </w:rPr>
        <w:t>th</w:t>
      </w:r>
      <w:r w:rsidRPr="009662E6">
        <w:rPr>
          <w:rFonts w:ascii="Arial" w:eastAsia="Times New Roman" w:hAnsi="Arial" w:cs="Arial"/>
          <w:sz w:val="26"/>
          <w:szCs w:val="24"/>
        </w:rPr>
        <w:t>Edition. Wiley.</w:t>
      </w:r>
    </w:p>
    <w:p w:rsidR="00967B0B" w:rsidRPr="009662E6" w:rsidRDefault="00967B0B" w:rsidP="00967B0B">
      <w:pPr>
        <w:numPr>
          <w:ilvl w:val="0"/>
          <w:numId w:val="3"/>
        </w:numPr>
        <w:spacing w:after="0" w:line="240" w:lineRule="auto"/>
        <w:ind w:left="475" w:hanging="475"/>
        <w:jc w:val="both"/>
        <w:rPr>
          <w:rFonts w:ascii="Arial" w:eastAsia="Times New Roman" w:hAnsi="Arial" w:cs="Arial"/>
          <w:sz w:val="26"/>
          <w:szCs w:val="24"/>
        </w:rPr>
      </w:pPr>
      <w:proofErr w:type="spellStart"/>
      <w:r w:rsidRPr="009662E6">
        <w:rPr>
          <w:rFonts w:ascii="Arial" w:eastAsia="Times New Roman" w:hAnsi="Arial" w:cs="Arial"/>
          <w:sz w:val="26"/>
          <w:szCs w:val="24"/>
        </w:rPr>
        <w:t>Josephy</w:t>
      </w:r>
      <w:proofErr w:type="spellEnd"/>
      <w:r w:rsidRPr="009662E6">
        <w:rPr>
          <w:rFonts w:ascii="Arial" w:eastAsia="Times New Roman" w:hAnsi="Arial" w:cs="Arial"/>
          <w:sz w:val="26"/>
          <w:szCs w:val="24"/>
        </w:rPr>
        <w:t xml:space="preserve">, P. D. and </w:t>
      </w:r>
      <w:proofErr w:type="spellStart"/>
      <w:r w:rsidRPr="009662E6">
        <w:rPr>
          <w:rFonts w:ascii="Arial" w:eastAsia="Times New Roman" w:hAnsi="Arial" w:cs="Arial"/>
          <w:sz w:val="26"/>
          <w:szCs w:val="24"/>
        </w:rPr>
        <w:t>Mannervik</w:t>
      </w:r>
      <w:proofErr w:type="spellEnd"/>
      <w:r w:rsidRPr="009662E6">
        <w:rPr>
          <w:rFonts w:ascii="Arial" w:eastAsia="Times New Roman" w:hAnsi="Arial" w:cs="Arial"/>
          <w:sz w:val="26"/>
          <w:szCs w:val="24"/>
        </w:rPr>
        <w:t>, B.</w:t>
      </w:r>
      <w:proofErr w:type="gramStart"/>
      <w:r w:rsidRPr="009662E6">
        <w:rPr>
          <w:rFonts w:ascii="Arial" w:eastAsia="Times New Roman" w:hAnsi="Arial" w:cs="Arial"/>
          <w:sz w:val="26"/>
          <w:szCs w:val="24"/>
        </w:rPr>
        <w:t>,2006</w:t>
      </w:r>
      <w:proofErr w:type="gramEnd"/>
      <w:r w:rsidRPr="009662E6">
        <w:rPr>
          <w:rFonts w:ascii="Arial" w:eastAsia="Times New Roman" w:hAnsi="Arial" w:cs="Arial"/>
          <w:sz w:val="26"/>
          <w:szCs w:val="24"/>
        </w:rPr>
        <w:t xml:space="preserve">. Molecular Toxicology, </w:t>
      </w:r>
      <w:r>
        <w:rPr>
          <w:rFonts w:ascii="Arial" w:eastAsia="Times New Roman" w:hAnsi="Arial" w:cs="Arial"/>
          <w:sz w:val="26"/>
          <w:szCs w:val="24"/>
        </w:rPr>
        <w:t>2</w:t>
      </w:r>
      <w:r w:rsidRPr="009662E6">
        <w:rPr>
          <w:rFonts w:ascii="Arial" w:eastAsia="Times New Roman" w:hAnsi="Arial" w:cs="Arial"/>
          <w:sz w:val="26"/>
          <w:szCs w:val="24"/>
          <w:vertAlign w:val="superscript"/>
        </w:rPr>
        <w:t>nd</w:t>
      </w:r>
      <w:r w:rsidRPr="009662E6">
        <w:rPr>
          <w:rFonts w:ascii="Arial" w:eastAsia="Times New Roman" w:hAnsi="Arial" w:cs="Arial"/>
          <w:sz w:val="26"/>
          <w:szCs w:val="24"/>
        </w:rPr>
        <w:t>Edition, Oxford University Press. ISBN: 9780195176209.</w:t>
      </w:r>
    </w:p>
    <w:p w:rsidR="00967B0B" w:rsidRPr="009662E6" w:rsidRDefault="00967B0B" w:rsidP="00967B0B">
      <w:pPr>
        <w:pStyle w:val="ListParagraph"/>
        <w:numPr>
          <w:ilvl w:val="0"/>
          <w:numId w:val="3"/>
        </w:numPr>
        <w:spacing w:after="0" w:line="240" w:lineRule="auto"/>
        <w:ind w:left="475" w:hanging="475"/>
        <w:jc w:val="both"/>
        <w:rPr>
          <w:rFonts w:ascii="Arial" w:eastAsia="Times New Roman" w:hAnsi="Arial" w:cs="Arial"/>
          <w:color w:val="auto"/>
          <w:sz w:val="26"/>
          <w:szCs w:val="24"/>
        </w:rPr>
      </w:pPr>
      <w:proofErr w:type="spellStart"/>
      <w:r w:rsidRPr="009662E6">
        <w:rPr>
          <w:rFonts w:ascii="Arial" w:eastAsia="Times New Roman" w:hAnsi="Arial" w:cs="Arial"/>
          <w:color w:val="auto"/>
          <w:sz w:val="26"/>
          <w:szCs w:val="24"/>
        </w:rPr>
        <w:t>Keohavong</w:t>
      </w:r>
      <w:proofErr w:type="spellEnd"/>
      <w:r w:rsidRPr="009662E6">
        <w:rPr>
          <w:rFonts w:ascii="Arial" w:eastAsia="Times New Roman" w:hAnsi="Arial" w:cs="Arial"/>
          <w:color w:val="auto"/>
          <w:sz w:val="26"/>
          <w:szCs w:val="24"/>
        </w:rPr>
        <w:t>, P. and Grant, S.G., 2005. Molecular Toxicology Protocols, 2</w:t>
      </w:r>
      <w:r w:rsidRPr="009662E6">
        <w:rPr>
          <w:rFonts w:ascii="Arial" w:eastAsia="Times New Roman" w:hAnsi="Arial" w:cs="Arial"/>
          <w:color w:val="auto"/>
          <w:sz w:val="26"/>
          <w:szCs w:val="24"/>
          <w:vertAlign w:val="superscript"/>
        </w:rPr>
        <w:t>nd</w:t>
      </w:r>
      <w:r w:rsidRPr="009662E6">
        <w:rPr>
          <w:rFonts w:ascii="Arial" w:eastAsia="Times New Roman" w:hAnsi="Arial" w:cs="Arial"/>
          <w:color w:val="auto"/>
          <w:sz w:val="26"/>
          <w:szCs w:val="24"/>
        </w:rPr>
        <w:t>Edition</w:t>
      </w:r>
      <w:proofErr w:type="gramStart"/>
      <w:r w:rsidRPr="009662E6">
        <w:rPr>
          <w:rFonts w:ascii="Arial" w:eastAsia="Times New Roman" w:hAnsi="Arial" w:cs="Arial"/>
          <w:color w:val="auto"/>
          <w:sz w:val="26"/>
          <w:szCs w:val="24"/>
        </w:rPr>
        <w:t>..</w:t>
      </w:r>
      <w:proofErr w:type="gramEnd"/>
      <w:r w:rsidRPr="009662E6">
        <w:rPr>
          <w:rFonts w:ascii="Arial" w:eastAsia="Times New Roman" w:hAnsi="Arial" w:cs="Arial"/>
          <w:color w:val="auto"/>
          <w:sz w:val="26"/>
          <w:szCs w:val="24"/>
        </w:rPr>
        <w:t xml:space="preserve"> DOI</w:t>
      </w:r>
      <w:proofErr w:type="gramStart"/>
      <w:r w:rsidRPr="009662E6">
        <w:rPr>
          <w:rFonts w:ascii="Arial" w:eastAsia="Times New Roman" w:hAnsi="Arial" w:cs="Arial"/>
          <w:color w:val="auto"/>
          <w:sz w:val="26"/>
          <w:szCs w:val="24"/>
        </w:rPr>
        <w:t>:10.1007</w:t>
      </w:r>
      <w:proofErr w:type="gramEnd"/>
      <w:r w:rsidRPr="009662E6">
        <w:rPr>
          <w:rFonts w:ascii="Arial" w:eastAsia="Times New Roman" w:hAnsi="Arial" w:cs="Arial"/>
          <w:color w:val="auto"/>
          <w:sz w:val="26"/>
          <w:szCs w:val="24"/>
        </w:rPr>
        <w:t xml:space="preserve">/978-1-62703-739-6, ISBN: 978-1-62703-738-9. Publisher: Humana. </w:t>
      </w:r>
    </w:p>
    <w:p w:rsidR="007B45CB" w:rsidRDefault="00967B0B" w:rsidP="00967B0B">
      <w:proofErr w:type="spellStart"/>
      <w:r w:rsidRPr="009662E6">
        <w:rPr>
          <w:sz w:val="26"/>
        </w:rPr>
        <w:t>Phouthone</w:t>
      </w:r>
      <w:proofErr w:type="spellEnd"/>
      <w:r w:rsidRPr="009662E6">
        <w:rPr>
          <w:sz w:val="26"/>
        </w:rPr>
        <w:t xml:space="preserve">, K., and </w:t>
      </w:r>
      <w:r w:rsidRPr="009662E6">
        <w:rPr>
          <w:rStyle w:val="Strong"/>
          <w:sz w:val="26"/>
        </w:rPr>
        <w:t>Grant</w:t>
      </w:r>
      <w:r w:rsidRPr="009662E6">
        <w:rPr>
          <w:sz w:val="26"/>
        </w:rPr>
        <w:t xml:space="preserve">, S, G.2016. </w:t>
      </w:r>
      <w:proofErr w:type="gramStart"/>
      <w:r w:rsidRPr="009662E6">
        <w:rPr>
          <w:sz w:val="26"/>
        </w:rPr>
        <w:t>Molecular Toxicology Protocols.</w:t>
      </w:r>
      <w:proofErr w:type="gramEnd"/>
      <w:r w:rsidRPr="009662E6">
        <w:rPr>
          <w:sz w:val="26"/>
        </w:rPr>
        <w:t xml:space="preserve"> </w:t>
      </w:r>
      <w:proofErr w:type="spellStart"/>
      <w:r w:rsidRPr="009662E6">
        <w:rPr>
          <w:sz w:val="26"/>
        </w:rPr>
        <w:t>Hamnna</w:t>
      </w:r>
      <w:proofErr w:type="spellEnd"/>
      <w:r w:rsidRPr="009662E6">
        <w:rPr>
          <w:sz w:val="26"/>
        </w:rPr>
        <w:t xml:space="preserve"> Press.</w:t>
      </w:r>
    </w:p>
    <w:sectPr w:rsidR="007B45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719B2"/>
    <w:multiLevelType w:val="multilevel"/>
    <w:tmpl w:val="CFFED6A6"/>
    <w:lvl w:ilvl="0">
      <w:start w:val="1"/>
      <w:numFmt w:val="decimal"/>
      <w:lvlText w:val="%1."/>
      <w:lvlJc w:val="left"/>
      <w:pPr>
        <w:ind w:left="1440" w:firstLine="2520"/>
      </w:pPr>
      <w:rPr>
        <w:b w:val="0"/>
        <w:vertAlign w:val="baseline"/>
      </w:rPr>
    </w:lvl>
    <w:lvl w:ilvl="1">
      <w:start w:val="1"/>
      <w:numFmt w:val="lowerLetter"/>
      <w:lvlText w:val="%2."/>
      <w:lvlJc w:val="left"/>
      <w:pPr>
        <w:ind w:left="1800" w:firstLine="3240"/>
      </w:pPr>
      <w:rPr>
        <w:vertAlign w:val="baseline"/>
      </w:rPr>
    </w:lvl>
    <w:lvl w:ilvl="2">
      <w:start w:val="1"/>
      <w:numFmt w:val="lowerRoman"/>
      <w:lvlText w:val="%3."/>
      <w:lvlJc w:val="right"/>
      <w:pPr>
        <w:ind w:left="2520" w:firstLine="4860"/>
      </w:pPr>
      <w:rPr>
        <w:vertAlign w:val="baseline"/>
      </w:rPr>
    </w:lvl>
    <w:lvl w:ilvl="3">
      <w:start w:val="1"/>
      <w:numFmt w:val="decimal"/>
      <w:lvlText w:val="%4."/>
      <w:lvlJc w:val="left"/>
      <w:pPr>
        <w:ind w:left="3240" w:firstLine="6120"/>
      </w:pPr>
      <w:rPr>
        <w:vertAlign w:val="baseline"/>
      </w:rPr>
    </w:lvl>
    <w:lvl w:ilvl="4">
      <w:start w:val="1"/>
      <w:numFmt w:val="lowerLetter"/>
      <w:lvlText w:val="%5."/>
      <w:lvlJc w:val="left"/>
      <w:pPr>
        <w:ind w:left="3960" w:firstLine="7560"/>
      </w:pPr>
      <w:rPr>
        <w:vertAlign w:val="baseline"/>
      </w:rPr>
    </w:lvl>
    <w:lvl w:ilvl="5">
      <w:start w:val="1"/>
      <w:numFmt w:val="lowerRoman"/>
      <w:lvlText w:val="%6."/>
      <w:lvlJc w:val="right"/>
      <w:pPr>
        <w:ind w:left="4680" w:firstLine="9180"/>
      </w:pPr>
      <w:rPr>
        <w:vertAlign w:val="baseline"/>
      </w:rPr>
    </w:lvl>
    <w:lvl w:ilvl="6">
      <w:start w:val="1"/>
      <w:numFmt w:val="decimal"/>
      <w:lvlText w:val="%7."/>
      <w:lvlJc w:val="left"/>
      <w:pPr>
        <w:ind w:left="5400" w:firstLine="10440"/>
      </w:pPr>
      <w:rPr>
        <w:vertAlign w:val="baseline"/>
      </w:rPr>
    </w:lvl>
    <w:lvl w:ilvl="7">
      <w:start w:val="1"/>
      <w:numFmt w:val="lowerLetter"/>
      <w:lvlText w:val="%8."/>
      <w:lvlJc w:val="left"/>
      <w:pPr>
        <w:ind w:left="6120" w:firstLine="11880"/>
      </w:pPr>
      <w:rPr>
        <w:vertAlign w:val="baseline"/>
      </w:rPr>
    </w:lvl>
    <w:lvl w:ilvl="8">
      <w:start w:val="1"/>
      <w:numFmt w:val="lowerRoman"/>
      <w:lvlText w:val="%9."/>
      <w:lvlJc w:val="right"/>
      <w:pPr>
        <w:ind w:left="6840" w:firstLine="13500"/>
      </w:pPr>
      <w:rPr>
        <w:vertAlign w:val="baseline"/>
      </w:rPr>
    </w:lvl>
  </w:abstractNum>
  <w:abstractNum w:abstractNumId="1">
    <w:nsid w:val="4D8E0608"/>
    <w:multiLevelType w:val="multilevel"/>
    <w:tmpl w:val="FA16D9CE"/>
    <w:lvl w:ilvl="0">
      <w:start w:val="1"/>
      <w:numFmt w:val="decimal"/>
      <w:lvlText w:val="%1."/>
      <w:lvlJc w:val="left"/>
      <w:pPr>
        <w:ind w:left="450" w:firstLine="1620"/>
      </w:pPr>
      <w:rPr>
        <w:vertAlign w:val="baseline"/>
      </w:rPr>
    </w:lvl>
    <w:lvl w:ilvl="1">
      <w:start w:val="1"/>
      <w:numFmt w:val="lowerLetter"/>
      <w:lvlText w:val="%2."/>
      <w:lvlJc w:val="left"/>
      <w:pPr>
        <w:ind w:left="1170" w:firstLine="3060"/>
      </w:pPr>
      <w:rPr>
        <w:vertAlign w:val="baseline"/>
      </w:rPr>
    </w:lvl>
    <w:lvl w:ilvl="2">
      <w:start w:val="1"/>
      <w:numFmt w:val="lowerRoman"/>
      <w:lvlText w:val="%3."/>
      <w:lvlJc w:val="right"/>
      <w:pPr>
        <w:ind w:left="1890" w:firstLine="4680"/>
      </w:pPr>
      <w:rPr>
        <w:vertAlign w:val="baseline"/>
      </w:rPr>
    </w:lvl>
    <w:lvl w:ilvl="3">
      <w:start w:val="1"/>
      <w:numFmt w:val="decimal"/>
      <w:lvlText w:val="%4."/>
      <w:lvlJc w:val="left"/>
      <w:pPr>
        <w:ind w:left="2610" w:firstLine="5940"/>
      </w:pPr>
      <w:rPr>
        <w:vertAlign w:val="baseline"/>
      </w:rPr>
    </w:lvl>
    <w:lvl w:ilvl="4">
      <w:start w:val="1"/>
      <w:numFmt w:val="lowerLetter"/>
      <w:lvlText w:val="%5."/>
      <w:lvlJc w:val="left"/>
      <w:pPr>
        <w:ind w:left="3330" w:firstLine="7380"/>
      </w:pPr>
      <w:rPr>
        <w:vertAlign w:val="baseline"/>
      </w:rPr>
    </w:lvl>
    <w:lvl w:ilvl="5">
      <w:start w:val="1"/>
      <w:numFmt w:val="lowerRoman"/>
      <w:lvlText w:val="%6."/>
      <w:lvlJc w:val="right"/>
      <w:pPr>
        <w:ind w:left="4050" w:firstLine="9000"/>
      </w:pPr>
      <w:rPr>
        <w:vertAlign w:val="baseline"/>
      </w:rPr>
    </w:lvl>
    <w:lvl w:ilvl="6">
      <w:start w:val="1"/>
      <w:numFmt w:val="decimal"/>
      <w:lvlText w:val="%7."/>
      <w:lvlJc w:val="left"/>
      <w:pPr>
        <w:ind w:left="4770" w:firstLine="10260"/>
      </w:pPr>
      <w:rPr>
        <w:vertAlign w:val="baseline"/>
      </w:rPr>
    </w:lvl>
    <w:lvl w:ilvl="7">
      <w:start w:val="1"/>
      <w:numFmt w:val="lowerLetter"/>
      <w:lvlText w:val="%8."/>
      <w:lvlJc w:val="left"/>
      <w:pPr>
        <w:ind w:left="5490" w:firstLine="11700"/>
      </w:pPr>
      <w:rPr>
        <w:vertAlign w:val="baseline"/>
      </w:rPr>
    </w:lvl>
    <w:lvl w:ilvl="8">
      <w:start w:val="1"/>
      <w:numFmt w:val="lowerRoman"/>
      <w:lvlText w:val="%9."/>
      <w:lvlJc w:val="right"/>
      <w:pPr>
        <w:ind w:left="6210" w:firstLine="13320"/>
      </w:pPr>
      <w:rPr>
        <w:vertAlign w:val="baseline"/>
      </w:rPr>
    </w:lvl>
  </w:abstractNum>
  <w:abstractNum w:abstractNumId="2">
    <w:nsid w:val="5C6015C0"/>
    <w:multiLevelType w:val="multilevel"/>
    <w:tmpl w:val="5866CE84"/>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67B0B"/>
    <w:rsid w:val="007B45CB"/>
    <w:rsid w:val="00967B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B0B"/>
    <w:pPr>
      <w:ind w:left="720"/>
      <w:contextualSpacing/>
    </w:pPr>
    <w:rPr>
      <w:rFonts w:ascii="Calibri" w:eastAsia="Calibri" w:hAnsi="Calibri" w:cs="Calibri"/>
      <w:color w:val="000000"/>
    </w:rPr>
  </w:style>
  <w:style w:type="character" w:styleId="Strong">
    <w:name w:val="Strong"/>
    <w:basedOn w:val="DefaultParagraphFont"/>
    <w:uiPriority w:val="22"/>
    <w:qFormat/>
    <w:rsid w:val="00967B0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u.wiley.com/WileyCDA/WileyTitle/productCd-047196852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2023-10-03T07:53:00Z</dcterms:created>
  <dcterms:modified xsi:type="dcterms:W3CDTF">2023-10-03T07:53:00Z</dcterms:modified>
</cp:coreProperties>
</file>