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A6" w:rsidRDefault="00B21FA6" w:rsidP="00B21FA6">
      <w:pPr>
        <w:spacing w:line="240" w:lineRule="auto"/>
        <w:rPr>
          <w:rFonts w:ascii="Arial" w:hAnsi="Arial" w:cs="Arial"/>
          <w:b/>
          <w:sz w:val="30"/>
        </w:rPr>
      </w:pPr>
    </w:p>
    <w:p w:rsidR="00B21FA6" w:rsidRPr="00A029F3" w:rsidRDefault="00B21FA6" w:rsidP="00B21FA6">
      <w:pPr>
        <w:spacing w:after="0" w:line="240" w:lineRule="auto"/>
        <w:contextualSpacing/>
        <w:rPr>
          <w:rFonts w:ascii="Arial" w:eastAsiaTheme="minorHAnsi" w:hAnsi="Arial" w:cs="Arial"/>
          <w:b/>
          <w:bCs/>
          <w:sz w:val="14"/>
          <w:szCs w:val="8"/>
        </w:rPr>
      </w:pPr>
      <w:r w:rsidRPr="005676C7">
        <w:rPr>
          <w:rFonts w:ascii="Arial" w:eastAsiaTheme="minorHAnsi" w:hAnsi="Arial" w:cs="Arial"/>
          <w:b/>
          <w:sz w:val="30"/>
          <w:szCs w:val="20"/>
        </w:rPr>
        <w:t>1.</w:t>
      </w:r>
      <w:r w:rsidRPr="005676C7">
        <w:rPr>
          <w:rFonts w:ascii="Arial" w:eastAsiaTheme="minorHAnsi" w:hAnsi="Arial" w:cs="Arial"/>
          <w:b/>
          <w:sz w:val="30"/>
          <w:szCs w:val="20"/>
        </w:rPr>
        <w:tab/>
        <w:t>MATHEMATICS I (ALGEBRA)</w:t>
      </w:r>
      <w:r>
        <w:rPr>
          <w:rFonts w:ascii="Arial" w:eastAsiaTheme="minorHAnsi" w:hAnsi="Arial" w:cs="Arial"/>
          <w:b/>
          <w:sz w:val="30"/>
          <w:szCs w:val="20"/>
        </w:rPr>
        <w:tab/>
      </w:r>
      <w:r>
        <w:rPr>
          <w:rFonts w:ascii="Arial" w:eastAsiaTheme="minorHAnsi" w:hAnsi="Arial" w:cs="Arial"/>
          <w:b/>
          <w:sz w:val="30"/>
          <w:szCs w:val="20"/>
        </w:rPr>
        <w:tab/>
      </w:r>
      <w:r>
        <w:rPr>
          <w:rFonts w:ascii="Arial" w:eastAsiaTheme="minorHAnsi" w:hAnsi="Arial" w:cs="Arial"/>
          <w:b/>
          <w:sz w:val="30"/>
          <w:szCs w:val="20"/>
        </w:rPr>
        <w:tab/>
      </w:r>
      <w:r w:rsidRPr="005676C7">
        <w:rPr>
          <w:rFonts w:ascii="Arial" w:eastAsiaTheme="minorHAnsi" w:hAnsi="Arial" w:cs="Arial"/>
          <w:b/>
          <w:sz w:val="26"/>
          <w:szCs w:val="20"/>
        </w:rPr>
        <w:t xml:space="preserve">Credit Hours: </w:t>
      </w:r>
      <w:r w:rsidRPr="005676C7">
        <w:rPr>
          <w:rFonts w:ascii="Arial" w:eastAsiaTheme="minorHAnsi" w:hAnsi="Arial" w:cs="Arial"/>
          <w:b/>
          <w:sz w:val="26"/>
          <w:szCs w:val="20"/>
        </w:rPr>
        <w:tab/>
      </w:r>
      <w:r w:rsidRPr="00894AC3">
        <w:rPr>
          <w:rFonts w:ascii="Arial" w:eastAsiaTheme="minorHAnsi" w:hAnsi="Arial" w:cs="Arial"/>
          <w:b/>
          <w:bCs/>
          <w:sz w:val="26"/>
          <w:szCs w:val="20"/>
        </w:rPr>
        <w:t>3 + 0</w:t>
      </w:r>
    </w:p>
    <w:p w:rsidR="00B21FA6" w:rsidRPr="00A029F3" w:rsidRDefault="00B21FA6" w:rsidP="00B21FA6">
      <w:pPr>
        <w:spacing w:after="0" w:line="240" w:lineRule="auto"/>
        <w:contextualSpacing/>
        <w:rPr>
          <w:rFonts w:ascii="Arial" w:eastAsiaTheme="minorHAnsi" w:hAnsi="Arial" w:cs="Arial"/>
          <w:b/>
          <w:sz w:val="16"/>
          <w:szCs w:val="6"/>
        </w:rPr>
      </w:pPr>
    </w:p>
    <w:p w:rsidR="00B21FA6" w:rsidRPr="00894AC3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iCs/>
          <w:sz w:val="26"/>
          <w:szCs w:val="20"/>
        </w:rPr>
      </w:pPr>
      <w:r w:rsidRPr="005676C7">
        <w:rPr>
          <w:rFonts w:ascii="Arial" w:eastAsiaTheme="minorHAnsi" w:hAnsi="Arial" w:cs="Arial"/>
          <w:b/>
          <w:bCs/>
          <w:sz w:val="26"/>
          <w:szCs w:val="20"/>
        </w:rPr>
        <w:t>Prerequisite(s):</w:t>
      </w:r>
      <w:r w:rsidRPr="005676C7">
        <w:rPr>
          <w:rFonts w:ascii="Arial" w:eastAsiaTheme="minorHAnsi" w:hAnsi="Arial" w:cs="Arial"/>
          <w:bCs/>
          <w:iCs/>
          <w:sz w:val="26"/>
          <w:szCs w:val="20"/>
        </w:rPr>
        <w:tab/>
      </w:r>
      <w:r w:rsidRPr="005676C7">
        <w:rPr>
          <w:rFonts w:ascii="Arial" w:eastAsiaTheme="minorHAnsi" w:hAnsi="Arial" w:cs="Arial"/>
          <w:iCs/>
          <w:sz w:val="26"/>
          <w:szCs w:val="20"/>
        </w:rPr>
        <w:t>Mathematics at secondary level</w:t>
      </w:r>
    </w:p>
    <w:p w:rsidR="00B21FA6" w:rsidRPr="005676C7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sz w:val="18"/>
          <w:szCs w:val="10"/>
        </w:rPr>
      </w:pPr>
    </w:p>
    <w:p w:rsidR="00B21FA6" w:rsidRPr="005676C7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sz w:val="26"/>
          <w:szCs w:val="20"/>
        </w:rPr>
      </w:pPr>
      <w:r w:rsidRPr="005676C7">
        <w:rPr>
          <w:rFonts w:ascii="Arial" w:eastAsiaTheme="minorHAnsi" w:hAnsi="Arial" w:cs="Arial"/>
          <w:b/>
          <w:bCs/>
          <w:sz w:val="26"/>
          <w:szCs w:val="20"/>
        </w:rPr>
        <w:t>Specific Objectives of the Course</w:t>
      </w:r>
      <w:r w:rsidRPr="005676C7">
        <w:rPr>
          <w:rFonts w:ascii="Arial" w:eastAsiaTheme="minorHAnsi" w:hAnsi="Arial" w:cs="Arial"/>
          <w:bCs/>
          <w:sz w:val="26"/>
          <w:szCs w:val="20"/>
        </w:rPr>
        <w:t xml:space="preserve">: </w:t>
      </w:r>
      <w:r w:rsidRPr="005676C7">
        <w:rPr>
          <w:rFonts w:ascii="Arial" w:eastAsiaTheme="minorHAnsi" w:hAnsi="Arial" w:cs="Arial"/>
          <w:sz w:val="26"/>
          <w:szCs w:val="20"/>
        </w:rPr>
        <w:t xml:space="preserve">To prepare the students, not majoring in mathematics, with the essential tools of algebra to apply the concepts and the techniques in their respective disciplines. </w:t>
      </w:r>
    </w:p>
    <w:p w:rsidR="00B21FA6" w:rsidRPr="005676C7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sz w:val="18"/>
          <w:szCs w:val="10"/>
        </w:rPr>
      </w:pPr>
    </w:p>
    <w:p w:rsidR="00B21FA6" w:rsidRPr="005676C7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b/>
          <w:bCs/>
          <w:sz w:val="32"/>
        </w:rPr>
      </w:pPr>
      <w:r w:rsidRPr="005676C7">
        <w:rPr>
          <w:rFonts w:ascii="Arial" w:eastAsiaTheme="minorHAnsi" w:hAnsi="Arial" w:cs="Arial"/>
          <w:b/>
          <w:bCs/>
          <w:sz w:val="32"/>
        </w:rPr>
        <w:t>Course Outline:</w:t>
      </w:r>
    </w:p>
    <w:p w:rsidR="00B21FA6" w:rsidRPr="000916AF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sz w:val="6"/>
          <w:szCs w:val="10"/>
        </w:rPr>
      </w:pPr>
    </w:p>
    <w:p w:rsidR="00B21FA6" w:rsidRPr="005676C7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sz w:val="26"/>
          <w:szCs w:val="20"/>
        </w:rPr>
      </w:pPr>
      <w:r w:rsidRPr="005676C7">
        <w:rPr>
          <w:rFonts w:ascii="Arial" w:eastAsiaTheme="minorHAnsi" w:hAnsi="Arial" w:cs="Arial"/>
          <w:i/>
          <w:sz w:val="26"/>
          <w:szCs w:val="20"/>
        </w:rPr>
        <w:t>Preliminaries:</w:t>
      </w:r>
      <w:r w:rsidRPr="005676C7">
        <w:rPr>
          <w:rFonts w:ascii="Arial" w:eastAsiaTheme="minorHAnsi" w:hAnsi="Arial" w:cs="Arial"/>
          <w:sz w:val="26"/>
          <w:szCs w:val="20"/>
        </w:rPr>
        <w:t xml:space="preserve"> Real-number system, complex numbers, introduction to sets, set operations, functions, types of functions. </w:t>
      </w:r>
      <w:r w:rsidRPr="005676C7">
        <w:rPr>
          <w:rFonts w:ascii="Arial" w:eastAsiaTheme="minorHAnsi" w:hAnsi="Arial" w:cs="Arial"/>
          <w:i/>
          <w:sz w:val="26"/>
          <w:szCs w:val="20"/>
        </w:rPr>
        <w:t>Matrices:</w:t>
      </w:r>
      <w:r w:rsidRPr="005676C7">
        <w:rPr>
          <w:rFonts w:ascii="Arial" w:eastAsiaTheme="minorHAnsi" w:hAnsi="Arial" w:cs="Arial"/>
          <w:sz w:val="26"/>
          <w:szCs w:val="20"/>
        </w:rPr>
        <w:t xml:space="preserve"> Introduction to matrices, types, matrix inverse, determinants, system of linear equations, Cramer’s rule.</w:t>
      </w:r>
    </w:p>
    <w:p w:rsidR="00B21FA6" w:rsidRPr="000916AF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sz w:val="10"/>
          <w:szCs w:val="20"/>
        </w:rPr>
      </w:pPr>
    </w:p>
    <w:p w:rsidR="00B21FA6" w:rsidRPr="005676C7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sz w:val="26"/>
          <w:szCs w:val="20"/>
        </w:rPr>
      </w:pPr>
      <w:r w:rsidRPr="005676C7">
        <w:rPr>
          <w:rFonts w:ascii="Arial" w:eastAsiaTheme="minorHAnsi" w:hAnsi="Arial" w:cs="Arial"/>
          <w:i/>
          <w:sz w:val="26"/>
          <w:szCs w:val="20"/>
        </w:rPr>
        <w:t>Quadratic Equations:</w:t>
      </w:r>
      <w:r w:rsidRPr="005676C7">
        <w:rPr>
          <w:rFonts w:ascii="Arial" w:eastAsiaTheme="minorHAnsi" w:hAnsi="Arial" w:cs="Arial"/>
          <w:sz w:val="26"/>
          <w:szCs w:val="20"/>
        </w:rPr>
        <w:t xml:space="preserve"> Solution of quadratic equations, qualitative analysis of roots of a quadratic equations, equations reducible to quadratic equations, cube roots of unity, relation between roots and coefficients of quadratic equations.</w:t>
      </w:r>
    </w:p>
    <w:p w:rsidR="00B21FA6" w:rsidRPr="000916AF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sz w:val="12"/>
          <w:szCs w:val="10"/>
        </w:rPr>
      </w:pPr>
    </w:p>
    <w:p w:rsidR="00B21FA6" w:rsidRPr="005676C7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sz w:val="26"/>
          <w:szCs w:val="20"/>
        </w:rPr>
      </w:pPr>
      <w:r w:rsidRPr="005676C7">
        <w:rPr>
          <w:rFonts w:ascii="Arial" w:eastAsiaTheme="minorHAnsi" w:hAnsi="Arial" w:cs="Arial"/>
          <w:i/>
          <w:sz w:val="26"/>
          <w:szCs w:val="20"/>
        </w:rPr>
        <w:t>Sequences and Series:</w:t>
      </w:r>
      <w:r w:rsidRPr="005676C7">
        <w:rPr>
          <w:rFonts w:ascii="Arial" w:eastAsiaTheme="minorHAnsi" w:hAnsi="Arial" w:cs="Arial"/>
          <w:sz w:val="26"/>
          <w:szCs w:val="20"/>
        </w:rPr>
        <w:t xml:space="preserve"> Arithmetic progression, geometric progression, harmonic progression. </w:t>
      </w:r>
      <w:r w:rsidRPr="005676C7">
        <w:rPr>
          <w:rFonts w:ascii="Arial" w:eastAsiaTheme="minorHAnsi" w:hAnsi="Arial" w:cs="Arial"/>
          <w:i/>
          <w:sz w:val="26"/>
          <w:szCs w:val="20"/>
        </w:rPr>
        <w:t>Binomial Theorem:</w:t>
      </w:r>
      <w:r w:rsidRPr="005676C7">
        <w:rPr>
          <w:rFonts w:ascii="Arial" w:eastAsiaTheme="minorHAnsi" w:hAnsi="Arial" w:cs="Arial"/>
          <w:sz w:val="26"/>
          <w:szCs w:val="20"/>
        </w:rPr>
        <w:t xml:space="preserve"> Introduction to mathematical induction, binomial theorem with rational and irrational indices. </w:t>
      </w:r>
      <w:r w:rsidRPr="005676C7">
        <w:rPr>
          <w:rFonts w:ascii="Arial" w:eastAsiaTheme="minorHAnsi" w:hAnsi="Arial" w:cs="Arial"/>
          <w:i/>
          <w:sz w:val="26"/>
          <w:szCs w:val="20"/>
        </w:rPr>
        <w:t>Trigonometry:</w:t>
      </w:r>
      <w:r w:rsidRPr="005676C7">
        <w:rPr>
          <w:rFonts w:ascii="Arial" w:eastAsiaTheme="minorHAnsi" w:hAnsi="Arial" w:cs="Arial"/>
          <w:sz w:val="26"/>
          <w:szCs w:val="20"/>
        </w:rPr>
        <w:t xml:space="preserve"> Fundamentals of trigonometry, trigonometric identities.</w:t>
      </w:r>
    </w:p>
    <w:p w:rsidR="00B21FA6" w:rsidRPr="005676C7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sz w:val="18"/>
          <w:szCs w:val="10"/>
        </w:rPr>
      </w:pPr>
    </w:p>
    <w:p w:rsidR="00B21FA6" w:rsidRPr="005676C7" w:rsidRDefault="00B21FA6" w:rsidP="00B21FA6">
      <w:pPr>
        <w:spacing w:after="0" w:line="240" w:lineRule="auto"/>
        <w:contextualSpacing/>
        <w:jc w:val="both"/>
        <w:rPr>
          <w:rFonts w:ascii="Arial" w:eastAsiaTheme="minorHAnsi" w:hAnsi="Arial" w:cs="Arial"/>
          <w:b/>
          <w:sz w:val="32"/>
        </w:rPr>
      </w:pPr>
      <w:r w:rsidRPr="005676C7">
        <w:rPr>
          <w:rFonts w:ascii="Arial" w:eastAsiaTheme="minorHAnsi" w:hAnsi="Arial" w:cs="Arial"/>
          <w:b/>
          <w:sz w:val="32"/>
        </w:rPr>
        <w:t>Recommended Books:</w:t>
      </w:r>
    </w:p>
    <w:p w:rsidR="00B21FA6" w:rsidRPr="00640066" w:rsidRDefault="00B21FA6" w:rsidP="00B21FA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Theme="minorHAnsi" w:hAnsi="Arial" w:cs="Arial"/>
          <w:sz w:val="26"/>
          <w:szCs w:val="20"/>
        </w:rPr>
      </w:pPr>
      <w:proofErr w:type="spellStart"/>
      <w:r w:rsidRPr="00640066">
        <w:rPr>
          <w:rFonts w:ascii="Arial" w:eastAsiaTheme="minorHAnsi" w:hAnsi="Arial" w:cs="Arial"/>
          <w:spacing w:val="-2"/>
          <w:sz w:val="26"/>
          <w:szCs w:val="20"/>
        </w:rPr>
        <w:t>Dolciani</w:t>
      </w:r>
      <w:proofErr w:type="spellEnd"/>
      <w:r w:rsidRPr="00640066">
        <w:rPr>
          <w:rFonts w:ascii="Arial" w:eastAsiaTheme="minorHAnsi" w:hAnsi="Arial" w:cs="Arial"/>
          <w:spacing w:val="-2"/>
          <w:sz w:val="26"/>
          <w:szCs w:val="20"/>
        </w:rPr>
        <w:t xml:space="preserve"> MP, </w:t>
      </w:r>
      <w:proofErr w:type="spellStart"/>
      <w:r w:rsidRPr="00640066">
        <w:rPr>
          <w:rFonts w:ascii="Arial" w:eastAsiaTheme="minorHAnsi" w:hAnsi="Arial" w:cs="Arial"/>
          <w:spacing w:val="-2"/>
          <w:sz w:val="26"/>
          <w:szCs w:val="20"/>
        </w:rPr>
        <w:t>Wooton</w:t>
      </w:r>
      <w:proofErr w:type="spellEnd"/>
      <w:r w:rsidRPr="00640066">
        <w:rPr>
          <w:rFonts w:ascii="Arial" w:eastAsiaTheme="minorHAnsi" w:hAnsi="Arial" w:cs="Arial"/>
          <w:spacing w:val="-2"/>
          <w:sz w:val="26"/>
          <w:szCs w:val="20"/>
        </w:rPr>
        <w:t xml:space="preserve"> W, </w:t>
      </w:r>
      <w:proofErr w:type="spellStart"/>
      <w:r w:rsidRPr="00640066">
        <w:rPr>
          <w:rFonts w:ascii="Arial" w:eastAsiaTheme="minorHAnsi" w:hAnsi="Arial" w:cs="Arial"/>
          <w:spacing w:val="-2"/>
          <w:sz w:val="26"/>
          <w:szCs w:val="20"/>
        </w:rPr>
        <w:t>Beckenback</w:t>
      </w:r>
      <w:proofErr w:type="spellEnd"/>
      <w:r w:rsidRPr="00640066">
        <w:rPr>
          <w:rFonts w:ascii="Arial" w:eastAsiaTheme="minorHAnsi" w:hAnsi="Arial" w:cs="Arial"/>
          <w:spacing w:val="-2"/>
          <w:sz w:val="26"/>
          <w:szCs w:val="20"/>
        </w:rPr>
        <w:t xml:space="preserve"> EF, Sharron S, </w:t>
      </w:r>
      <w:r w:rsidRPr="00640066">
        <w:rPr>
          <w:rFonts w:ascii="Arial" w:eastAsiaTheme="minorHAnsi" w:hAnsi="Arial" w:cs="Arial"/>
          <w:i/>
          <w:spacing w:val="-2"/>
          <w:sz w:val="26"/>
          <w:szCs w:val="20"/>
        </w:rPr>
        <w:t>Algebra 2 and Trigonometry</w:t>
      </w:r>
      <w:r w:rsidRPr="00640066">
        <w:rPr>
          <w:rFonts w:ascii="Arial" w:eastAsiaTheme="minorHAnsi" w:hAnsi="Arial" w:cs="Arial"/>
          <w:spacing w:val="-2"/>
          <w:sz w:val="26"/>
          <w:szCs w:val="20"/>
        </w:rPr>
        <w:t>, 1978, Houghton &amp; Mifflin, Boston (suggested text)</w:t>
      </w:r>
    </w:p>
    <w:p w:rsidR="00B21FA6" w:rsidRPr="00640066" w:rsidRDefault="00B21FA6" w:rsidP="00B21FA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Theme="minorHAnsi" w:hAnsi="Arial" w:cs="Arial"/>
          <w:sz w:val="26"/>
          <w:szCs w:val="20"/>
        </w:rPr>
      </w:pPr>
      <w:r w:rsidRPr="00640066">
        <w:rPr>
          <w:rFonts w:ascii="Arial" w:eastAsiaTheme="minorHAnsi" w:hAnsi="Arial" w:cs="Arial"/>
          <w:sz w:val="26"/>
          <w:szCs w:val="20"/>
        </w:rPr>
        <w:t xml:space="preserve">Kaufmann JE, College </w:t>
      </w:r>
      <w:r w:rsidRPr="00640066">
        <w:rPr>
          <w:rFonts w:ascii="Arial" w:eastAsiaTheme="minorHAnsi" w:hAnsi="Arial" w:cs="Arial"/>
          <w:i/>
          <w:iCs/>
          <w:sz w:val="26"/>
          <w:szCs w:val="20"/>
        </w:rPr>
        <w:t>Algebra and Trigonometry</w:t>
      </w:r>
      <w:r w:rsidRPr="00640066">
        <w:rPr>
          <w:rFonts w:ascii="Arial" w:eastAsiaTheme="minorHAnsi" w:hAnsi="Arial" w:cs="Arial"/>
          <w:sz w:val="26"/>
          <w:szCs w:val="20"/>
        </w:rPr>
        <w:t>, 1987, PWS-Kent Company, Boston</w:t>
      </w:r>
    </w:p>
    <w:p w:rsidR="00B21FA6" w:rsidRPr="00640066" w:rsidRDefault="00B21FA6" w:rsidP="00B21FA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Theme="minorHAnsi" w:hAnsi="Arial" w:cs="Arial"/>
          <w:sz w:val="26"/>
          <w:szCs w:val="20"/>
        </w:rPr>
      </w:pPr>
      <w:proofErr w:type="spellStart"/>
      <w:r w:rsidRPr="00640066">
        <w:rPr>
          <w:rFonts w:ascii="Arial" w:eastAsiaTheme="minorHAnsi" w:hAnsi="Arial" w:cs="Arial"/>
          <w:sz w:val="26"/>
          <w:szCs w:val="20"/>
        </w:rPr>
        <w:t>Swokowski</w:t>
      </w:r>
      <w:proofErr w:type="spellEnd"/>
      <w:r w:rsidRPr="00640066">
        <w:rPr>
          <w:rFonts w:ascii="Arial" w:eastAsiaTheme="minorHAnsi" w:hAnsi="Arial" w:cs="Arial"/>
          <w:sz w:val="26"/>
          <w:szCs w:val="20"/>
        </w:rPr>
        <w:t xml:space="preserve"> EW, </w:t>
      </w:r>
      <w:r w:rsidRPr="00640066">
        <w:rPr>
          <w:rFonts w:ascii="Arial" w:eastAsiaTheme="minorHAnsi" w:hAnsi="Arial" w:cs="Arial"/>
          <w:i/>
          <w:iCs/>
          <w:sz w:val="26"/>
          <w:szCs w:val="20"/>
        </w:rPr>
        <w:t>Fundamentals of Algebra and Trigonometry</w:t>
      </w:r>
      <w:r w:rsidRPr="00640066">
        <w:rPr>
          <w:rFonts w:ascii="Arial" w:eastAsiaTheme="minorHAnsi" w:hAnsi="Arial" w:cs="Arial"/>
          <w:sz w:val="26"/>
          <w:szCs w:val="20"/>
        </w:rPr>
        <w:t xml:space="preserve"> (6</w:t>
      </w:r>
      <w:r w:rsidRPr="00640066">
        <w:rPr>
          <w:rFonts w:ascii="Arial" w:eastAsiaTheme="minorHAnsi" w:hAnsi="Arial" w:cs="Arial"/>
          <w:sz w:val="26"/>
          <w:szCs w:val="20"/>
          <w:vertAlign w:val="superscript"/>
        </w:rPr>
        <w:t>th</w:t>
      </w:r>
      <w:r w:rsidRPr="00640066">
        <w:rPr>
          <w:rFonts w:ascii="Arial" w:eastAsiaTheme="minorHAnsi" w:hAnsi="Arial" w:cs="Arial"/>
          <w:sz w:val="26"/>
          <w:szCs w:val="20"/>
        </w:rPr>
        <w:t xml:space="preserve"> edition), 1986, PWS-Kent Company, Boston</w:t>
      </w:r>
    </w:p>
    <w:p w:rsidR="000B7481" w:rsidRDefault="000B7481"/>
    <w:sectPr w:rsidR="000B7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40B23"/>
    <w:multiLevelType w:val="hybridMultilevel"/>
    <w:tmpl w:val="E8384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21FA6"/>
    <w:rsid w:val="000B7481"/>
    <w:rsid w:val="00B2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FA6"/>
    <w:pPr>
      <w:ind w:left="720"/>
      <w:contextualSpacing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2023-10-02T09:01:00Z</dcterms:created>
  <dcterms:modified xsi:type="dcterms:W3CDTF">2023-10-02T09:02:00Z</dcterms:modified>
</cp:coreProperties>
</file>