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60" w:rsidRPr="00CA5E6E" w:rsidRDefault="00A63A60" w:rsidP="00A63A60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3D3586">
        <w:rPr>
          <w:rFonts w:ascii="Arial" w:eastAsia="Times New Roman" w:hAnsi="Arial" w:cs="Arial"/>
          <w:b/>
          <w:sz w:val="30"/>
          <w:szCs w:val="24"/>
        </w:rPr>
        <w:t>MOLECULAR BIOLOGY II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HOURS3+0</w:t>
      </w:r>
    </w:p>
    <w:p w:rsidR="00A63A60" w:rsidRPr="003D3586" w:rsidRDefault="00A63A60" w:rsidP="00A63A60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A63A60" w:rsidRPr="003D3586" w:rsidRDefault="00A63A60" w:rsidP="00A63A60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D3586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A63A60" w:rsidRPr="003D3586" w:rsidRDefault="00A63A60" w:rsidP="00A63A60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3D3586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A63A60" w:rsidRPr="00CA5E6E" w:rsidRDefault="00A63A60" w:rsidP="00A63A6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K</w:t>
      </w:r>
      <w:r w:rsidRPr="00CA5E6E">
        <w:rPr>
          <w:rFonts w:ascii="Arial" w:eastAsia="Times New Roman" w:hAnsi="Arial" w:cs="Arial"/>
          <w:sz w:val="26"/>
          <w:szCs w:val="24"/>
        </w:rPr>
        <w:t>now about the gene regulation and gene expression.</w:t>
      </w:r>
    </w:p>
    <w:p w:rsidR="00A63A60" w:rsidRPr="00CA5E6E" w:rsidRDefault="00A63A60" w:rsidP="00A63A60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U</w:t>
      </w:r>
      <w:r w:rsidRPr="00CA5E6E">
        <w:rPr>
          <w:rFonts w:ascii="Arial" w:eastAsia="Times New Roman" w:hAnsi="Arial" w:cs="Arial"/>
          <w:sz w:val="26"/>
          <w:szCs w:val="24"/>
        </w:rPr>
        <w:t>nderstand the processes of transcription and translation</w:t>
      </w:r>
    </w:p>
    <w:p w:rsidR="00A63A60" w:rsidRPr="003D3586" w:rsidRDefault="00A63A60" w:rsidP="00A63A60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A63A60" w:rsidRPr="003D3586" w:rsidRDefault="00A63A60" w:rsidP="00A63A60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D3586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A63A60" w:rsidRPr="00CA5E6E" w:rsidRDefault="00A63A60" w:rsidP="00A63A60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proofErr w:type="gramStart"/>
      <w:r w:rsidRPr="00CA5E6E">
        <w:rPr>
          <w:rFonts w:ascii="Arial" w:eastAsia="Times New Roman" w:hAnsi="Arial" w:cs="Arial"/>
          <w:sz w:val="26"/>
          <w:szCs w:val="24"/>
        </w:rPr>
        <w:t>Over view of regulation of gene expression.</w:t>
      </w:r>
      <w:proofErr w:type="gramEnd"/>
      <w:r w:rsidRPr="00CA5E6E">
        <w:rPr>
          <w:rFonts w:ascii="Arial" w:eastAsia="Times New Roman" w:hAnsi="Arial" w:cs="Arial"/>
          <w:sz w:val="26"/>
          <w:szCs w:val="24"/>
        </w:rPr>
        <w:t xml:space="preserve"> Regulatory sequences, transcription factors, Regulation of gene expression in prokaryotes (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operon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systems), eukaryotic gene regulation, Transcriptional control of gene expression (RNA polymerases, regulatory sequences, activators and repressors of transcription; genetic switches, transcription initiation, molecular mechanisms of transcription repression and activation, regulation of transcription factor activity); post-transcriptional controls (processing and transport of pre-mRNA,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cytoplasmic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mechanisms of post-transcriptional control, processing of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rRNA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 xml:space="preserve"> and </w:t>
      </w:r>
      <w:proofErr w:type="spellStart"/>
      <w:r w:rsidRPr="00CA5E6E">
        <w:rPr>
          <w:rFonts w:ascii="Arial" w:eastAsia="Times New Roman" w:hAnsi="Arial" w:cs="Arial"/>
          <w:sz w:val="26"/>
          <w:szCs w:val="24"/>
        </w:rPr>
        <w:t>tRNA</w:t>
      </w:r>
      <w:proofErr w:type="spellEnd"/>
      <w:r w:rsidRPr="00CA5E6E">
        <w:rPr>
          <w:rFonts w:ascii="Arial" w:eastAsia="Times New Roman" w:hAnsi="Arial" w:cs="Arial"/>
          <w:sz w:val="26"/>
          <w:szCs w:val="24"/>
        </w:rPr>
        <w:t>); Bacterial protein synthesis and regulation; Eukaryotic protein synthesis and regulation; post translational modification; non coding RNAs</w:t>
      </w:r>
    </w:p>
    <w:p w:rsidR="00A63A60" w:rsidRPr="00D375FA" w:rsidRDefault="00A63A60" w:rsidP="00A63A60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</w:rPr>
      </w:pPr>
    </w:p>
    <w:p w:rsidR="00A63A60" w:rsidRPr="003D3586" w:rsidRDefault="00A63A60" w:rsidP="00A63A60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3D3586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3D3586">
        <w:rPr>
          <w:rStyle w:val="a-size-extra-large"/>
          <w:rFonts w:ascii="Arial" w:hAnsi="Arial" w:cs="Arial"/>
          <w:color w:val="000000" w:themeColor="text1"/>
          <w:sz w:val="26"/>
          <w:szCs w:val="24"/>
        </w:rPr>
        <w:t>Allison, L.A., 2011.  Fundamental Molecular Biology.</w:t>
      </w:r>
      <w:r w:rsidRPr="003D3586">
        <w:rPr>
          <w:rStyle w:val="a-size-large"/>
          <w:rFonts w:ascii="Arial" w:hAnsi="Arial" w:cs="Arial"/>
          <w:color w:val="000000" w:themeColor="text1"/>
          <w:sz w:val="26"/>
          <w:szCs w:val="24"/>
        </w:rPr>
        <w:t>2</w:t>
      </w:r>
      <w:r w:rsidRPr="003D3586">
        <w:rPr>
          <w:rStyle w:val="a-size-large"/>
          <w:rFonts w:ascii="Arial" w:hAnsi="Arial" w:cs="Arial"/>
          <w:color w:val="000000" w:themeColor="text1"/>
          <w:sz w:val="26"/>
          <w:szCs w:val="24"/>
          <w:vertAlign w:val="superscript"/>
        </w:rPr>
        <w:t>nd</w:t>
      </w:r>
      <w:r w:rsidRPr="003D3586">
        <w:rPr>
          <w:rStyle w:val="a-size-large"/>
          <w:rFonts w:ascii="Arial" w:hAnsi="Arial" w:cs="Arial"/>
          <w:color w:val="000000" w:themeColor="text1"/>
          <w:sz w:val="26"/>
          <w:szCs w:val="24"/>
        </w:rPr>
        <w:t xml:space="preserve"> Edition. Wil</w:t>
      </w:r>
      <w:r>
        <w:rPr>
          <w:rStyle w:val="a-size-large"/>
          <w:rFonts w:ascii="Arial" w:hAnsi="Arial" w:cs="Arial"/>
          <w:color w:val="000000" w:themeColor="text1"/>
          <w:sz w:val="26"/>
          <w:szCs w:val="24"/>
        </w:rPr>
        <w:t>e</w:t>
      </w:r>
      <w:r w:rsidRPr="003D3586">
        <w:rPr>
          <w:rStyle w:val="a-size-large"/>
          <w:rFonts w:ascii="Arial" w:hAnsi="Arial" w:cs="Arial"/>
          <w:color w:val="000000" w:themeColor="text1"/>
          <w:sz w:val="26"/>
          <w:szCs w:val="24"/>
        </w:rPr>
        <w:t xml:space="preserve">y </w:t>
      </w:r>
      <w:r>
        <w:rPr>
          <w:rStyle w:val="a-size-large"/>
          <w:rFonts w:ascii="Arial" w:hAnsi="Arial" w:cs="Arial"/>
          <w:color w:val="000000" w:themeColor="text1"/>
          <w:sz w:val="26"/>
          <w:szCs w:val="24"/>
        </w:rPr>
        <w:t>S</w:t>
      </w:r>
      <w:r w:rsidRPr="003D3586">
        <w:rPr>
          <w:rStyle w:val="a-size-large"/>
          <w:rFonts w:ascii="Arial" w:hAnsi="Arial" w:cs="Arial"/>
          <w:color w:val="000000" w:themeColor="text1"/>
          <w:sz w:val="26"/>
          <w:szCs w:val="24"/>
        </w:rPr>
        <w:t>ons.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5" w:history="1"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Gerald </w:t>
        </w:r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Karp</w:t>
        </w:r>
      </w:hyperlink>
      <w:proofErr w:type="gramStart"/>
      <w:r w:rsidRPr="003D3586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>,G</w:t>
      </w:r>
      <w:proofErr w:type="spellEnd"/>
      <w:proofErr w:type="gramEnd"/>
      <w:r w:rsidRPr="003D3586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 xml:space="preserve">., </w:t>
      </w:r>
      <w:hyperlink r:id="rId6" w:history="1"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Janet </w:t>
        </w:r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Iwasa</w:t>
        </w:r>
      </w:hyperlink>
      <w:r w:rsidRPr="003D3586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>,J</w:t>
      </w:r>
      <w:proofErr w:type="spellEnd"/>
      <w:r w:rsidRPr="003D3586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 xml:space="preserve">., </w:t>
      </w:r>
      <w:hyperlink r:id="rId7" w:history="1"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Wallace </w:t>
        </w:r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Marshall</w:t>
        </w:r>
      </w:hyperlink>
      <w:r w:rsidRPr="003D3586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>,W</w:t>
      </w:r>
      <w:proofErr w:type="spellEnd"/>
      <w:r w:rsidRPr="003D3586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 xml:space="preserve">., 2016. </w:t>
      </w:r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Karp's Cell and Molecular Biology, 8</w:t>
      </w:r>
      <w:r w:rsidRPr="003D3586">
        <w:rPr>
          <w:rFonts w:ascii="Arial" w:hAnsi="Arial" w:cs="Arial"/>
          <w:color w:val="000000" w:themeColor="text1"/>
          <w:sz w:val="26"/>
          <w:szCs w:val="24"/>
          <w:vertAlign w:val="superscript"/>
        </w:rPr>
        <w:t>th</w:t>
      </w:r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Edition</w:t>
      </w:r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. John Willey and Sons, Inc.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8" w:history="1"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Kormann</w:t>
        </w:r>
        <w:proofErr w:type="spellEnd"/>
      </w:hyperlink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, M.S.D., 2016. Modern Tools for Genetic Engineering.  Publisher: </w:t>
      </w:r>
      <w:proofErr w:type="spellStart"/>
      <w:r w:rsidRPr="003D3586">
        <w:rPr>
          <w:rStyle w:val="Strong"/>
          <w:rFonts w:ascii="Arial" w:hAnsi="Arial" w:cs="Arial"/>
          <w:color w:val="000000" w:themeColor="text1"/>
          <w:sz w:val="26"/>
          <w:szCs w:val="24"/>
        </w:rPr>
        <w:t>InTech</w:t>
      </w:r>
      <w:r w:rsidRPr="003D3586">
        <w:rPr>
          <w:rFonts w:ascii="Arial" w:hAnsi="Arial" w:cs="Arial"/>
          <w:color w:val="000000" w:themeColor="text1"/>
          <w:sz w:val="26"/>
          <w:szCs w:val="24"/>
        </w:rPr>
        <w:t>Janeza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3D3586">
        <w:rPr>
          <w:rFonts w:ascii="Arial" w:hAnsi="Arial" w:cs="Arial"/>
          <w:color w:val="000000" w:themeColor="text1"/>
          <w:sz w:val="26"/>
          <w:szCs w:val="24"/>
        </w:rPr>
        <w:t>Trdine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951000 Rijeka, Croatia - European Union.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9" w:history="1"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Kormann</w:t>
        </w:r>
      </w:hyperlink>
      <w:proofErr w:type="gramStart"/>
      <w:r w:rsidRPr="003D3586">
        <w:rPr>
          <w:rFonts w:ascii="Arial" w:hAnsi="Arial" w:cs="Arial"/>
          <w:color w:val="000000" w:themeColor="text1"/>
          <w:sz w:val="26"/>
          <w:szCs w:val="24"/>
        </w:rPr>
        <w:t>,M.S.D</w:t>
      </w:r>
      <w:proofErr w:type="spellEnd"/>
      <w:proofErr w:type="gram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., 2016. Modern Tools for Genetic Engineering.  Publisher: </w:t>
      </w:r>
      <w:proofErr w:type="spellStart"/>
      <w:r w:rsidRPr="003D3586">
        <w:rPr>
          <w:rFonts w:ascii="Arial" w:hAnsi="Arial" w:cs="Arial"/>
          <w:color w:val="000000" w:themeColor="text1"/>
          <w:sz w:val="26"/>
          <w:szCs w:val="24"/>
        </w:rPr>
        <w:t>InTech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3D3586">
        <w:rPr>
          <w:rFonts w:ascii="Arial" w:hAnsi="Arial" w:cs="Arial"/>
          <w:color w:val="000000" w:themeColor="text1"/>
          <w:sz w:val="26"/>
          <w:szCs w:val="24"/>
        </w:rPr>
        <w:t>Janeza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3D3586">
        <w:rPr>
          <w:rFonts w:ascii="Arial" w:hAnsi="Arial" w:cs="Arial"/>
          <w:color w:val="000000" w:themeColor="text1"/>
          <w:sz w:val="26"/>
          <w:szCs w:val="24"/>
        </w:rPr>
        <w:t>Trdine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951000 Rijeka, Croatia - European Union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10" w:history="1"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Larramendy</w:t>
        </w:r>
        <w:proofErr w:type="spellEnd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, M.L., and </w:t>
        </w:r>
        <w:proofErr w:type="spellStart"/>
        <w:r w:rsidRPr="003D3586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Soloneski</w:t>
        </w:r>
      </w:hyperlink>
      <w:proofErr w:type="gramStart"/>
      <w:r w:rsidRPr="003D3586">
        <w:rPr>
          <w:rFonts w:ascii="Arial" w:hAnsi="Arial" w:cs="Arial"/>
          <w:color w:val="000000" w:themeColor="text1"/>
          <w:sz w:val="26"/>
          <w:szCs w:val="24"/>
        </w:rPr>
        <w:t>,S</w:t>
      </w:r>
      <w:proofErr w:type="spellEnd"/>
      <w:proofErr w:type="gram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., 2016. Nucleic Acids From Basic Aspects to Laboratory Tools  Publisher: </w:t>
      </w:r>
      <w:proofErr w:type="spellStart"/>
      <w:r w:rsidRPr="003D3586">
        <w:rPr>
          <w:rFonts w:ascii="Arial" w:hAnsi="Arial" w:cs="Arial"/>
          <w:color w:val="000000" w:themeColor="text1"/>
          <w:sz w:val="26"/>
          <w:szCs w:val="24"/>
        </w:rPr>
        <w:t>InTech,Janeza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3D3586">
        <w:rPr>
          <w:rFonts w:ascii="Arial" w:hAnsi="Arial" w:cs="Arial"/>
          <w:color w:val="000000" w:themeColor="text1"/>
          <w:sz w:val="26"/>
          <w:szCs w:val="24"/>
        </w:rPr>
        <w:t>Trdine</w:t>
      </w:r>
      <w:proofErr w:type="spellEnd"/>
      <w:r w:rsidRPr="003D3586">
        <w:rPr>
          <w:rFonts w:ascii="Arial" w:hAnsi="Arial" w:cs="Arial"/>
          <w:color w:val="000000" w:themeColor="text1"/>
          <w:sz w:val="26"/>
          <w:szCs w:val="24"/>
        </w:rPr>
        <w:t xml:space="preserve"> 951000 Rijeka, Croatia  EUROPEAN UNION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proofErr w:type="gram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Lodish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.,</w:t>
      </w:r>
      <w:proofErr w:type="gram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H.,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Berk,A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., Kaiser, C.A. M. Krieger, M.,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Bretscher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, A.,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Ploegh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, H., Martin, K., 2016.  Molecular Cell Biology. 8</w:t>
      </w:r>
      <w:r w:rsidRPr="003D3586">
        <w:rPr>
          <w:rFonts w:ascii="Arial" w:eastAsia="Times New Roman" w:hAnsi="Arial" w:cs="Arial"/>
          <w:color w:val="000000" w:themeColor="text1"/>
          <w:sz w:val="26"/>
          <w:szCs w:val="24"/>
          <w:vertAlign w:val="superscript"/>
        </w:rPr>
        <w:t>th</w:t>
      </w:r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Edition.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W.H.Freeman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.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Old R. W. and Primrose, S.B., </w:t>
      </w:r>
      <w:proofErr w:type="gram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An</w:t>
      </w:r>
      <w:proofErr w:type="gram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Introduction to Genetic Engineering, Blackwell Scientific Publications.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Watson, J.D.,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Gann</w:t>
      </w:r>
      <w:proofErr w:type="gram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,A</w:t>
      </w:r>
      <w:proofErr w:type="spellEnd"/>
      <w:proofErr w:type="gram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., Levine, M.,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Losicks,R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., 2013. Molecular Biology of the Gene. The </w:t>
      </w:r>
      <w:proofErr w:type="spellStart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Benjumen</w:t>
      </w:r>
      <w:proofErr w:type="spellEnd"/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Cummings Publishing Company, California</w:t>
      </w:r>
    </w:p>
    <w:p w:rsidR="00A63A60" w:rsidRPr="003D3586" w:rsidRDefault="00A63A60" w:rsidP="00A63A60">
      <w:pPr>
        <w:numPr>
          <w:ilvl w:val="0"/>
          <w:numId w:val="2"/>
        </w:numPr>
        <w:spacing w:after="0" w:line="240" w:lineRule="auto"/>
        <w:ind w:hanging="27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>Wilson, J. and Hunt, T., 2015. . Molecular Biology of the Cell. 6</w:t>
      </w:r>
      <w:r w:rsidRPr="003D3586">
        <w:rPr>
          <w:rFonts w:ascii="Arial" w:eastAsia="Times New Roman" w:hAnsi="Arial" w:cs="Arial"/>
          <w:color w:val="000000" w:themeColor="text1"/>
          <w:sz w:val="26"/>
          <w:szCs w:val="24"/>
          <w:vertAlign w:val="superscript"/>
        </w:rPr>
        <w:t>th</w:t>
      </w:r>
      <w:r w:rsidRPr="003D3586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Edition Garland Sciences, Taylor and Francis. </w:t>
      </w:r>
    </w:p>
    <w:p w:rsidR="00300EF8" w:rsidRDefault="00300EF8"/>
    <w:sectPr w:rsidR="00300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32F35"/>
    <w:multiLevelType w:val="multilevel"/>
    <w:tmpl w:val="79D8E578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6CCA6186"/>
    <w:multiLevelType w:val="multilevel"/>
    <w:tmpl w:val="4CE082B8"/>
    <w:lvl w:ilvl="0">
      <w:start w:val="1"/>
      <w:numFmt w:val="decimal"/>
      <w:lvlText w:val="%1"/>
      <w:lvlJc w:val="left"/>
      <w:pPr>
        <w:ind w:left="270" w:firstLine="1080"/>
      </w:pPr>
      <w:rPr>
        <w:rFonts w:hint="default"/>
        <w:b w:val="0"/>
        <w:vertAlign w:val="baseline"/>
      </w:rPr>
    </w:lvl>
    <w:lvl w:ilvl="1">
      <w:start w:val="1"/>
      <w:numFmt w:val="bullet"/>
      <w:lvlText w:val="o"/>
      <w:lvlJc w:val="left"/>
      <w:pPr>
        <w:ind w:left="99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71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43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15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87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59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31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030" w:firstLine="1260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3A60"/>
    <w:rsid w:val="00300EF8"/>
    <w:rsid w:val="00A6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-size-extra-large">
    <w:name w:val="a-size-extra-large"/>
    <w:basedOn w:val="DefaultParagraphFont"/>
    <w:rsid w:val="00A63A60"/>
  </w:style>
  <w:style w:type="character" w:customStyle="1" w:styleId="a-size-large">
    <w:name w:val="a-size-large"/>
    <w:basedOn w:val="DefaultParagraphFont"/>
    <w:rsid w:val="00A63A60"/>
  </w:style>
  <w:style w:type="character" w:styleId="Hyperlink">
    <w:name w:val="Hyperlink"/>
    <w:basedOn w:val="DefaultParagraphFont"/>
    <w:uiPriority w:val="99"/>
    <w:unhideWhenUsed/>
    <w:rsid w:val="00A63A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3A60"/>
    <w:rPr>
      <w:b/>
      <w:bCs/>
    </w:rPr>
  </w:style>
  <w:style w:type="character" w:customStyle="1" w:styleId="productdetail-authorsmain">
    <w:name w:val="productdetail-authorsmain"/>
    <w:basedOn w:val="DefaultParagraphFont"/>
    <w:rsid w:val="00A63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chopen.com/books/editor/modern-tools-for-genetic-enginee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.wiley.com/WileyCDA/Section/id-302479.html?query=Wallace+Marshal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.wiley.com/WileyCDA/Section/id-302479.html?query=Janet+Iwas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u.wiley.com/WileyCDA/Section/id-302479.html?query=Gerald+Karp" TargetMode="External"/><Relationship Id="rId10" Type="http://schemas.openxmlformats.org/officeDocument/2006/relationships/hyperlink" Target="http://www.intechopen.com/books/editor/nucleic-acids-from-basic-aspects-to-laboratory-too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chopen.com/books/editor/modern-tools-for-genetic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2023-10-02T09:16:00Z</dcterms:created>
  <dcterms:modified xsi:type="dcterms:W3CDTF">2023-10-02T09:24:00Z</dcterms:modified>
</cp:coreProperties>
</file>